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F703C" w:rsidRDefault="00031F4C">
      <w:pPr>
        <w:pStyle w:val="CRCoverPage"/>
        <w:tabs>
          <w:tab w:val="right" w:pos="9639"/>
        </w:tabs>
        <w:spacing w:after="0"/>
        <w:rPr>
          <w:rFonts w:eastAsia="맑은 고딕" w:cs="Arial"/>
          <w:b/>
          <w:noProof/>
          <w:color w:val="000000"/>
          <w:sz w:val="24"/>
          <w:vertAlign w:val="superscript"/>
          <w:lang w:eastAsia="ko-KR"/>
        </w:rPr>
      </w:pPr>
      <w:r>
        <w:rPr>
          <w:rFonts w:eastAsia="맑은 고딕" w:cs="Arial"/>
          <w:b/>
          <w:noProof/>
          <w:color w:val="000000"/>
          <w:sz w:val="24"/>
          <w:lang w:eastAsia="ko-KR"/>
        </w:rPr>
        <w:t>3GPP TSG-RAN2#113-</w:t>
      </w:r>
      <w:r>
        <w:rPr>
          <w:rFonts w:eastAsia="맑은 고딕" w:cs="Arial" w:hint="eastAsia"/>
          <w:b/>
          <w:noProof/>
          <w:color w:val="000000"/>
          <w:sz w:val="24"/>
          <w:lang w:eastAsia="ko-KR"/>
        </w:rPr>
        <w:t>e</w:t>
      </w:r>
      <w:r>
        <w:rPr>
          <w:rFonts w:eastAsia="맑은 고딕" w:cs="Arial"/>
          <w:b/>
          <w:noProof/>
          <w:color w:val="000000"/>
          <w:sz w:val="24"/>
          <w:lang w:eastAsia="ko-KR"/>
        </w:rPr>
        <w:tab/>
      </w:r>
      <w:r w:rsidR="001D1468" w:rsidRPr="001D1468">
        <w:rPr>
          <w:rFonts w:eastAsia="맑은 고딕" w:cs="Arial"/>
          <w:b/>
          <w:i/>
          <w:noProof/>
          <w:color w:val="000000"/>
          <w:sz w:val="32"/>
          <w:szCs w:val="32"/>
          <w:lang w:eastAsia="ko-KR"/>
        </w:rPr>
        <w:t>R2-2100784</w:t>
      </w:r>
      <w:bookmarkStart w:id="0" w:name="_GoBack"/>
      <w:bookmarkEnd w:id="0"/>
    </w:p>
    <w:p w:rsidR="000F703C" w:rsidRDefault="00031F4C">
      <w:pPr>
        <w:pStyle w:val="CRCoverPage"/>
        <w:tabs>
          <w:tab w:val="right" w:pos="9639"/>
        </w:tabs>
        <w:spacing w:after="0"/>
        <w:rPr>
          <w:rFonts w:eastAsia="맑은 고딕" w:cs="Arial"/>
          <w:b/>
          <w:noProof/>
          <w:color w:val="000000"/>
          <w:sz w:val="24"/>
          <w:vertAlign w:val="superscript"/>
          <w:lang w:eastAsia="ko-KR"/>
        </w:rPr>
      </w:pPr>
      <w:r>
        <w:rPr>
          <w:b/>
          <w:noProof/>
          <w:sz w:val="24"/>
        </w:rPr>
        <w:t>Online, 25th Jan - 5th Feb 2021</w:t>
      </w:r>
      <w:r>
        <w:rPr>
          <w:rFonts w:eastAsia="맑은 고딕" w:cs="Arial"/>
          <w:b/>
          <w:noProof/>
          <w:color w:val="000000"/>
          <w:sz w:val="24"/>
          <w:lang w:eastAsia="ko-KR"/>
        </w:rPr>
        <w:tab/>
      </w:r>
    </w:p>
    <w:p w:rsidR="000F703C" w:rsidRDefault="00031F4C">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rsidR="000F703C" w:rsidRDefault="000F703C">
      <w:pPr>
        <w:pStyle w:val="CRCoverPage"/>
        <w:tabs>
          <w:tab w:val="right" w:pos="9639"/>
        </w:tabs>
        <w:spacing w:after="0"/>
        <w:rPr>
          <w:rFonts w:eastAsia="맑은 고딕"/>
          <w:b/>
          <w:noProof/>
          <w:sz w:val="24"/>
          <w:lang w:eastAsia="ko-KR"/>
        </w:rPr>
      </w:pPr>
    </w:p>
    <w:p w:rsidR="000F703C" w:rsidRDefault="00031F4C">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Agenda Item</w:t>
      </w:r>
      <w:r>
        <w:rPr>
          <w:rFonts w:ascii="Arial" w:hAnsi="Arial" w:cs="Arial"/>
          <w:b/>
          <w:noProof/>
          <w:sz w:val="28"/>
          <w:szCs w:val="28"/>
          <w:lang w:val="en-US"/>
        </w:rPr>
        <w:tab/>
        <w:t>: 8.6.5 (NR_SmallData_INACTIVE-Core)</w:t>
      </w:r>
    </w:p>
    <w:p w:rsidR="000F703C" w:rsidRDefault="00031F4C">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Source</w:t>
      </w:r>
      <w:r>
        <w:rPr>
          <w:rFonts w:ascii="Arial" w:hAnsi="Arial" w:cs="Arial"/>
          <w:b/>
          <w:noProof/>
          <w:sz w:val="28"/>
          <w:szCs w:val="28"/>
          <w:lang w:val="en-US"/>
        </w:rPr>
        <w:tab/>
        <w:t>: LG Electronics Inc.</w:t>
      </w:r>
    </w:p>
    <w:p w:rsidR="000F703C" w:rsidRDefault="00031F4C">
      <w:pPr>
        <w:tabs>
          <w:tab w:val="left" w:pos="1843"/>
        </w:tabs>
        <w:spacing w:after="60" w:line="288" w:lineRule="auto"/>
        <w:jc w:val="both"/>
        <w:rPr>
          <w:rFonts w:ascii="Arial" w:hAnsi="Arial" w:cs="Arial"/>
          <w:b/>
          <w:noProof/>
          <w:sz w:val="28"/>
          <w:szCs w:val="28"/>
          <w:lang w:val="en-US" w:eastAsia="ko-KR"/>
        </w:rPr>
      </w:pPr>
      <w:r>
        <w:rPr>
          <w:rFonts w:ascii="Arial" w:hAnsi="Arial" w:cs="Arial"/>
          <w:b/>
          <w:noProof/>
          <w:sz w:val="28"/>
          <w:szCs w:val="28"/>
          <w:lang w:val="en-US"/>
        </w:rPr>
        <w:t>Title</w:t>
      </w:r>
      <w:r>
        <w:rPr>
          <w:rFonts w:ascii="Arial" w:hAnsi="Arial" w:cs="Arial"/>
          <w:b/>
          <w:noProof/>
          <w:sz w:val="28"/>
          <w:szCs w:val="28"/>
          <w:lang w:val="en-US"/>
        </w:rPr>
        <w:tab/>
        <w:t>: CG Resource validity and MAC PDU rebuilding on SDT</w:t>
      </w:r>
    </w:p>
    <w:p w:rsidR="000F703C" w:rsidRDefault="00031F4C">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Document for</w:t>
      </w:r>
      <w:r>
        <w:rPr>
          <w:rFonts w:ascii="Arial" w:hAnsi="Arial" w:cs="Arial"/>
          <w:b/>
          <w:noProof/>
          <w:sz w:val="28"/>
          <w:szCs w:val="28"/>
          <w:lang w:val="en-US"/>
        </w:rPr>
        <w:tab/>
        <w:t>: Discussion and Decision</w:t>
      </w:r>
    </w:p>
    <w:p w:rsidR="000F703C" w:rsidRDefault="00031F4C">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0F703C" w:rsidRDefault="00031F4C">
      <w:pPr>
        <w:spacing w:before="120" w:after="120"/>
        <w:rPr>
          <w:rFonts w:ascii="Arial" w:eastAsia="맑은 고딕" w:hAnsi="Arial" w:cs="Arial"/>
          <w:color w:val="000000"/>
          <w:lang w:eastAsia="ko-KR"/>
        </w:rPr>
      </w:pPr>
      <w:r>
        <w:rPr>
          <w:rFonts w:ascii="Arial" w:eastAsia="맑은 고딕" w:hAnsi="Arial" w:cs="Arial" w:hint="eastAsia"/>
          <w:color w:val="000000"/>
          <w:lang w:eastAsia="ko-KR"/>
        </w:rPr>
        <w:t xml:space="preserve">In </w:t>
      </w:r>
      <w:r>
        <w:rPr>
          <w:rFonts w:ascii="Arial" w:eastAsia="맑은 고딕" w:hAnsi="Arial" w:cs="Arial"/>
          <w:color w:val="000000"/>
          <w:lang w:eastAsia="ko-KR"/>
        </w:rPr>
        <w:t>the last meeting, RAN2 made agreements on CG resource scheme as follows,</w:t>
      </w:r>
    </w:p>
    <w:p w:rsidR="000F703C" w:rsidRDefault="00031F4C">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b/>
          <w:bCs/>
          <w:szCs w:val="24"/>
          <w:lang w:eastAsia="en-GB"/>
        </w:rPr>
      </w:pPr>
      <w:r>
        <w:rPr>
          <w:rFonts w:ascii="Arial" w:eastAsia="MS Mincho" w:hAnsi="Arial"/>
          <w:b/>
          <w:bCs/>
          <w:szCs w:val="24"/>
          <w:lang w:eastAsia="en-GB"/>
        </w:rPr>
        <w:t>Agreements:</w:t>
      </w:r>
    </w:p>
    <w:p w:rsidR="000F703C" w:rsidRDefault="00031F4C">
      <w:pPr>
        <w:widowControl w:val="0"/>
        <w:numPr>
          <w:ilvl w:val="0"/>
          <w:numId w:val="46"/>
        </w:numPr>
        <w:pBdr>
          <w:top w:val="single" w:sz="4" w:space="1" w:color="auto"/>
          <w:left w:val="single" w:sz="4" w:space="4" w:color="auto"/>
          <w:bottom w:val="single" w:sz="4" w:space="1" w:color="auto"/>
          <w:right w:val="single" w:sz="4" w:space="4" w:color="auto"/>
        </w:pBdr>
        <w:tabs>
          <w:tab w:val="left" w:pos="1622"/>
        </w:tabs>
        <w:wordWrap w:val="0"/>
        <w:autoSpaceDE w:val="0"/>
        <w:autoSpaceDN w:val="0"/>
        <w:spacing w:after="0" w:line="259" w:lineRule="auto"/>
        <w:jc w:val="both"/>
        <w:rPr>
          <w:rFonts w:ascii="Arial" w:eastAsia="MS Mincho" w:hAnsi="Arial"/>
          <w:szCs w:val="24"/>
          <w:lang w:eastAsia="en-GB"/>
        </w:rPr>
      </w:pPr>
      <w:r>
        <w:rPr>
          <w:rFonts w:ascii="Arial" w:eastAsia="MS Mincho" w:hAnsi="Arial"/>
          <w:szCs w:val="24"/>
          <w:lang w:eastAsia="en-GB"/>
        </w:rPr>
        <w:t xml:space="preserve">The configuration of configured grant resource for UE uplink small data transfer is contained in the RRCRelease message.  FFS if other dedicated messages can configure CG in INACTIVE CG. Configuration is only type 1 CG with no contention resolution procedure for CG. </w:t>
      </w:r>
    </w:p>
    <w:p w:rsidR="000F703C" w:rsidRDefault="00031F4C">
      <w:pPr>
        <w:widowControl w:val="0"/>
        <w:numPr>
          <w:ilvl w:val="0"/>
          <w:numId w:val="46"/>
        </w:numPr>
        <w:pBdr>
          <w:top w:val="single" w:sz="4" w:space="1" w:color="auto"/>
          <w:left w:val="single" w:sz="4" w:space="4" w:color="auto"/>
          <w:bottom w:val="single" w:sz="4" w:space="1" w:color="auto"/>
          <w:right w:val="single" w:sz="4" w:space="4" w:color="auto"/>
        </w:pBdr>
        <w:tabs>
          <w:tab w:val="left" w:pos="1622"/>
        </w:tabs>
        <w:wordWrap w:val="0"/>
        <w:autoSpaceDE w:val="0"/>
        <w:autoSpaceDN w:val="0"/>
        <w:spacing w:after="0" w:line="259" w:lineRule="auto"/>
        <w:jc w:val="both"/>
        <w:rPr>
          <w:rFonts w:ascii="Arial" w:eastAsia="MS Mincho" w:hAnsi="Arial"/>
          <w:szCs w:val="24"/>
          <w:lang w:eastAsia="en-GB"/>
        </w:rPr>
      </w:pPr>
      <w:r>
        <w:rPr>
          <w:rFonts w:ascii="Arial" w:eastAsia="MS Mincho" w:hAnsi="Arial"/>
          <w:szCs w:val="24"/>
          <w:lang w:eastAsia="en-GB"/>
        </w:rPr>
        <w:t>The configuration of configured grant resource can include one type 1 CG configuration.  FFS if multiple configured CGs are allowed</w:t>
      </w:r>
    </w:p>
    <w:p w:rsidR="000F703C" w:rsidRDefault="00031F4C">
      <w:pPr>
        <w:widowControl w:val="0"/>
        <w:numPr>
          <w:ilvl w:val="0"/>
          <w:numId w:val="46"/>
        </w:numPr>
        <w:pBdr>
          <w:top w:val="single" w:sz="4" w:space="1" w:color="auto"/>
          <w:left w:val="single" w:sz="4" w:space="4" w:color="auto"/>
          <w:bottom w:val="single" w:sz="4" w:space="1" w:color="auto"/>
          <w:right w:val="single" w:sz="4" w:space="4" w:color="auto"/>
        </w:pBdr>
        <w:tabs>
          <w:tab w:val="left" w:pos="1622"/>
        </w:tabs>
        <w:wordWrap w:val="0"/>
        <w:autoSpaceDE w:val="0"/>
        <w:autoSpaceDN w:val="0"/>
        <w:spacing w:after="0" w:line="259" w:lineRule="auto"/>
        <w:jc w:val="both"/>
        <w:rPr>
          <w:rFonts w:ascii="Arial" w:eastAsia="MS Mincho" w:hAnsi="Arial"/>
          <w:szCs w:val="24"/>
          <w:lang w:eastAsia="en-GB"/>
        </w:rPr>
      </w:pPr>
      <w:r>
        <w:rPr>
          <w:rFonts w:ascii="Arial" w:eastAsia="MS Mincho" w:hAnsi="Arial"/>
          <w:szCs w:val="24"/>
          <w:highlight w:val="yellow"/>
          <w:lang w:eastAsia="en-GB"/>
        </w:rPr>
        <w:t>A new TA timer for TA maintenance specified for configured grant based small data transfer in RRC_INACTIVE should be introduced.</w:t>
      </w:r>
      <w:r>
        <w:rPr>
          <w:rFonts w:ascii="Arial" w:eastAsia="MS Mincho" w:hAnsi="Arial"/>
          <w:szCs w:val="24"/>
          <w:lang w:eastAsia="en-GB"/>
        </w:rPr>
        <w:t xml:space="preserve">  FFS on the procedure, the validity of TA, and how to handle expiration of TA timer.  The TA timer is configured together with the CG configuration in the RRCRelease message.</w:t>
      </w:r>
    </w:p>
    <w:p w:rsidR="000F703C" w:rsidRDefault="00031F4C">
      <w:pPr>
        <w:widowControl w:val="0"/>
        <w:numPr>
          <w:ilvl w:val="0"/>
          <w:numId w:val="46"/>
        </w:numPr>
        <w:pBdr>
          <w:top w:val="single" w:sz="4" w:space="1" w:color="auto"/>
          <w:left w:val="single" w:sz="4" w:space="4" w:color="auto"/>
          <w:bottom w:val="single" w:sz="4" w:space="1" w:color="auto"/>
          <w:right w:val="single" w:sz="4" w:space="4" w:color="auto"/>
        </w:pBdr>
        <w:tabs>
          <w:tab w:val="left" w:pos="1622"/>
        </w:tabs>
        <w:wordWrap w:val="0"/>
        <w:autoSpaceDE w:val="0"/>
        <w:autoSpaceDN w:val="0"/>
        <w:spacing w:after="0" w:line="259" w:lineRule="auto"/>
        <w:jc w:val="both"/>
        <w:rPr>
          <w:rFonts w:ascii="Arial" w:eastAsia="MS Mincho" w:hAnsi="Arial"/>
          <w:szCs w:val="24"/>
          <w:lang w:eastAsia="en-GB"/>
        </w:rPr>
      </w:pPr>
      <w:r>
        <w:rPr>
          <w:rFonts w:ascii="Arial" w:eastAsia="MS Mincho" w:hAnsi="Arial"/>
          <w:szCs w:val="24"/>
          <w:lang w:eastAsia="en-GB"/>
        </w:rPr>
        <w:t>The configuration of configured grant resource for UE small data transmission is valid only in the same serving cell.  FFS for other CG validity criteria (e.g. timer, UL/SUL aspect, etc)</w:t>
      </w:r>
    </w:p>
    <w:p w:rsidR="000F703C" w:rsidRDefault="00031F4C">
      <w:pPr>
        <w:widowControl w:val="0"/>
        <w:numPr>
          <w:ilvl w:val="0"/>
          <w:numId w:val="46"/>
        </w:numPr>
        <w:pBdr>
          <w:top w:val="single" w:sz="4" w:space="1" w:color="auto"/>
          <w:left w:val="single" w:sz="4" w:space="4" w:color="auto"/>
          <w:bottom w:val="single" w:sz="4" w:space="1" w:color="auto"/>
          <w:right w:val="single" w:sz="4" w:space="4" w:color="auto"/>
        </w:pBdr>
        <w:tabs>
          <w:tab w:val="left" w:pos="1622"/>
        </w:tabs>
        <w:wordWrap w:val="0"/>
        <w:autoSpaceDE w:val="0"/>
        <w:autoSpaceDN w:val="0"/>
        <w:spacing w:after="0" w:line="259" w:lineRule="auto"/>
        <w:jc w:val="both"/>
        <w:rPr>
          <w:rFonts w:ascii="Arial" w:eastAsia="MS Mincho" w:hAnsi="Arial"/>
          <w:szCs w:val="24"/>
          <w:lang w:eastAsia="en-GB"/>
        </w:rPr>
      </w:pPr>
      <w:r>
        <w:rPr>
          <w:rFonts w:ascii="Arial" w:eastAsia="MS Mincho" w:hAnsi="Arial"/>
          <w:szCs w:val="24"/>
          <w:highlight w:val="yellow"/>
          <w:lang w:eastAsia="en-GB"/>
        </w:rPr>
        <w:t>The UE can use configured grant based small data transfer if at least the following criteria is fulfilled (1) user data is smaller than the data volume threshold; (2) configured grant resource is configured and valid; (3) UE has valid TA.</w:t>
      </w:r>
      <w:r>
        <w:rPr>
          <w:rFonts w:ascii="Arial" w:eastAsia="MS Mincho" w:hAnsi="Arial"/>
          <w:szCs w:val="24"/>
          <w:lang w:eastAsia="en-GB"/>
        </w:rPr>
        <w:t xml:space="preserve">  FFS for the candidate beam criteria.  </w:t>
      </w:r>
    </w:p>
    <w:p w:rsidR="000F703C" w:rsidRDefault="00031F4C">
      <w:pPr>
        <w:widowControl w:val="0"/>
        <w:numPr>
          <w:ilvl w:val="0"/>
          <w:numId w:val="46"/>
        </w:numPr>
        <w:pBdr>
          <w:top w:val="single" w:sz="4" w:space="1" w:color="auto"/>
          <w:left w:val="single" w:sz="4" w:space="4" w:color="auto"/>
          <w:bottom w:val="single" w:sz="4" w:space="1" w:color="auto"/>
          <w:right w:val="single" w:sz="4" w:space="4" w:color="auto"/>
        </w:pBdr>
        <w:tabs>
          <w:tab w:val="left" w:pos="1622"/>
        </w:tabs>
        <w:wordWrap w:val="0"/>
        <w:autoSpaceDE w:val="0"/>
        <w:autoSpaceDN w:val="0"/>
        <w:spacing w:after="0" w:line="259" w:lineRule="auto"/>
        <w:jc w:val="both"/>
        <w:rPr>
          <w:rFonts w:ascii="Arial" w:eastAsia="MS Mincho" w:hAnsi="Arial"/>
          <w:szCs w:val="24"/>
          <w:lang w:eastAsia="en-GB"/>
        </w:rPr>
      </w:pPr>
      <w:r>
        <w:rPr>
          <w:rFonts w:ascii="Arial" w:eastAsia="MS Mincho" w:hAnsi="Arial"/>
          <w:szCs w:val="24"/>
          <w:lang w:eastAsia="en-GB"/>
        </w:rPr>
        <w:t>From RAN2 point of view:  An association between CG resources and SSBs is required for CG-based SDT.  FFS up to RAN1 how the association is configured or provided to the UE.  Send an LS to RAN1 to start the discussion on how the association can be made.   Mention that one option RAN2 considered was explicit configuration with RRC Release message</w:t>
      </w:r>
    </w:p>
    <w:p w:rsidR="000F703C" w:rsidRDefault="00031F4C">
      <w:pPr>
        <w:widowControl w:val="0"/>
        <w:numPr>
          <w:ilvl w:val="0"/>
          <w:numId w:val="46"/>
        </w:numPr>
        <w:pBdr>
          <w:top w:val="single" w:sz="4" w:space="1" w:color="auto"/>
          <w:left w:val="single" w:sz="4" w:space="4" w:color="auto"/>
          <w:bottom w:val="single" w:sz="4" w:space="1" w:color="auto"/>
          <w:right w:val="single" w:sz="4" w:space="4" w:color="auto"/>
        </w:pBdr>
        <w:tabs>
          <w:tab w:val="left" w:pos="1622"/>
        </w:tabs>
        <w:wordWrap w:val="0"/>
        <w:autoSpaceDE w:val="0"/>
        <w:autoSpaceDN w:val="0"/>
        <w:spacing w:after="0" w:line="259" w:lineRule="auto"/>
        <w:jc w:val="both"/>
        <w:rPr>
          <w:rFonts w:ascii="Arial" w:eastAsia="MS Mincho" w:hAnsi="Arial"/>
          <w:szCs w:val="24"/>
          <w:lang w:eastAsia="en-GB"/>
        </w:rPr>
      </w:pPr>
      <w:r>
        <w:rPr>
          <w:rFonts w:ascii="Arial" w:eastAsia="MS Mincho" w:hAnsi="Arial"/>
          <w:szCs w:val="24"/>
          <w:highlight w:val="yellow"/>
          <w:lang w:eastAsia="en-GB"/>
        </w:rPr>
        <w:t>A SS-RSRP threshold is configured for SSB selection. UE selects one of the SSB with SS-RSRP above the threshold and selects the associated CG resource for UL data transmission.</w:t>
      </w:r>
    </w:p>
    <w:p w:rsidR="000F703C" w:rsidRDefault="000F703C">
      <w:pPr>
        <w:tabs>
          <w:tab w:val="left" w:pos="1622"/>
        </w:tabs>
        <w:spacing w:after="0"/>
        <w:ind w:left="1622" w:hanging="363"/>
        <w:rPr>
          <w:rFonts w:ascii="Arial" w:eastAsia="MS Mincho" w:hAnsi="Arial"/>
          <w:i/>
          <w:iCs/>
          <w:szCs w:val="24"/>
          <w:lang w:eastAsia="en-GB"/>
        </w:rPr>
      </w:pPr>
    </w:p>
    <w:p w:rsidR="000F703C" w:rsidRDefault="00031F4C">
      <w:pPr>
        <w:overflowPunct w:val="0"/>
        <w:autoSpaceDE w:val="0"/>
        <w:autoSpaceDN w:val="0"/>
        <w:adjustRightInd w:val="0"/>
        <w:textAlignment w:val="baseline"/>
        <w:rPr>
          <w:rFonts w:ascii="Arial" w:eastAsia="맑은 고딕" w:hAnsi="Arial" w:cs="Arial"/>
          <w:color w:val="000000"/>
          <w:lang w:eastAsia="ko-KR"/>
        </w:rPr>
      </w:pPr>
      <w:r>
        <w:rPr>
          <w:rFonts w:ascii="Arial" w:hAnsi="Arial" w:cs="Arial"/>
        </w:rPr>
        <w:t>In this contribution, we discuss the CG resource validity and fallback mechanism on SDT, and provide our view.</w:t>
      </w:r>
    </w:p>
    <w:p w:rsidR="000F703C" w:rsidRDefault="00031F4C">
      <w:pPr>
        <w:pStyle w:val="1"/>
        <w:spacing w:line="300" w:lineRule="atLeast"/>
        <w:rPr>
          <w:color w:val="000000"/>
          <w:lang w:eastAsia="ko-KR"/>
        </w:rPr>
      </w:pPr>
      <w:r>
        <w:rPr>
          <w:rFonts w:hint="eastAsia"/>
          <w:lang w:val="en-US" w:eastAsia="ko-KR"/>
        </w:rPr>
        <w:t>2</w:t>
      </w:r>
      <w:r>
        <w:rPr>
          <w:lang w:val="en-US"/>
        </w:rPr>
        <w:t>.</w:t>
      </w:r>
      <w:r>
        <w:rPr>
          <w:lang w:val="en-US"/>
        </w:rPr>
        <w:tab/>
      </w:r>
      <w:r>
        <w:rPr>
          <w:rFonts w:hint="eastAsia"/>
          <w:lang w:val="en-US" w:eastAsia="ko-KR"/>
        </w:rPr>
        <w:t>Discussion</w:t>
      </w:r>
      <w:r>
        <w:rPr>
          <w:rFonts w:hint="eastAsia"/>
          <w:color w:val="000000"/>
          <w:lang w:eastAsia="ko-KR"/>
        </w:rPr>
        <w:t xml:space="preserve"> </w:t>
      </w:r>
    </w:p>
    <w:p w:rsidR="000F703C" w:rsidRDefault="00031F4C">
      <w:pPr>
        <w:spacing w:before="120" w:after="120"/>
        <w:rPr>
          <w:rFonts w:ascii="Arial" w:eastAsia="맑은 고딕" w:hAnsi="Arial" w:cs="Arial"/>
          <w:color w:val="000000"/>
          <w:lang w:eastAsia="ko-KR"/>
        </w:rPr>
      </w:pPr>
      <w:r>
        <w:rPr>
          <w:rFonts w:ascii="Arial" w:eastAsia="맑은 고딕" w:hAnsi="Arial" w:cs="Arial"/>
          <w:color w:val="000000"/>
          <w:lang w:eastAsia="ko-KR"/>
        </w:rPr>
        <w:t xml:space="preserve">For SDT procedure, UE firstly determines whether to use SDT or not based on the data volume threshold, and then </w:t>
      </w:r>
      <w:r>
        <w:rPr>
          <w:rFonts w:ascii="Arial" w:eastAsia="맑은 고딕" w:hAnsi="Arial" w:cs="Arial" w:hint="eastAsia"/>
          <w:color w:val="000000"/>
          <w:lang w:eastAsia="ko-KR"/>
        </w:rPr>
        <w:t xml:space="preserve">selects </w:t>
      </w:r>
      <w:r>
        <w:rPr>
          <w:rFonts w:ascii="Arial" w:eastAsia="맑은 고딕" w:hAnsi="Arial" w:cs="Arial"/>
          <w:color w:val="000000"/>
          <w:lang w:eastAsia="ko-KR"/>
        </w:rPr>
        <w:t xml:space="preserve">whether to use CG-SDT or RA-SDT. </w:t>
      </w:r>
    </w:p>
    <w:p w:rsidR="000F703C" w:rsidRDefault="00031F4C">
      <w:pPr>
        <w:spacing w:before="120" w:after="120"/>
        <w:rPr>
          <w:rFonts w:ascii="Arial" w:eastAsia="맑은 고딕" w:hAnsi="Arial" w:cs="Arial"/>
          <w:color w:val="000000"/>
          <w:lang w:eastAsia="ko-KR"/>
        </w:rPr>
      </w:pPr>
      <w:r>
        <w:rPr>
          <w:rFonts w:ascii="Arial" w:eastAsia="맑은 고딕" w:hAnsi="Arial" w:cs="Arial"/>
          <w:color w:val="000000"/>
          <w:lang w:eastAsia="ko-KR"/>
        </w:rPr>
        <w:t>In [1], RAN2 discussed the criterion for selection between CG-SDT and RA-SDT. All of companies agreed that CG-SDT is chosen if valid CG-SDT resource exists, otherwise RA-SDT is chosen, i.e., CG-SDT is prioritized over RA-SDT. With agreements in the last meeting and e-mail discussion, when the UE determines to use SDT, if SSB with SS-RSRP is above configured threshold and the new TA timer is running, the CG resource is considered valid and the UE always selects CG-SDT.</w:t>
      </w:r>
    </w:p>
    <w:p w:rsidR="00584F05" w:rsidRDefault="00031F4C">
      <w:pPr>
        <w:spacing w:before="120" w:after="120"/>
        <w:rPr>
          <w:rFonts w:ascii="Arial" w:eastAsia="맑은 고딕" w:hAnsi="Arial" w:cs="Arial"/>
          <w:color w:val="000000"/>
          <w:lang w:eastAsia="ko-KR"/>
        </w:rPr>
      </w:pPr>
      <w:r>
        <w:rPr>
          <w:rFonts w:ascii="Arial" w:eastAsia="맑은 고딕" w:hAnsi="Arial" w:cs="Arial"/>
          <w:color w:val="000000"/>
          <w:lang w:eastAsia="ko-KR"/>
        </w:rPr>
        <w:t xml:space="preserve">However, the determination of CG resource validity considering only RSRP threshold and TA validation potentially leads to increased latency on data transmission. Considering that dense configuration of CG </w:t>
      </w:r>
      <w:r>
        <w:rPr>
          <w:rFonts w:ascii="Arial" w:eastAsia="맑은 고딕" w:hAnsi="Arial" w:cs="Arial"/>
          <w:color w:val="000000"/>
          <w:lang w:eastAsia="ko-KR"/>
        </w:rPr>
        <w:lastRenderedPageBreak/>
        <w:t>resource leads to waste of reserved radio resource, the network may configure CG resource with long periodicity and there may be a case that the next CG resource is farther than RA resource from data arrival. Thus, if UE always selects CG-SDT based on RSRP threshold and TA validation, there may be a significant latency on data transmission. Therefore, we think additional criterion is needed, taking into account the remaining time to the RA resource or CG resource from data arrival, i.e., time based criterion.</w:t>
      </w:r>
      <w:r w:rsidR="00721BA9">
        <w:rPr>
          <w:rFonts w:ascii="Arial" w:eastAsia="맑은 고딕" w:hAnsi="Arial" w:cs="Arial"/>
          <w:color w:val="000000"/>
          <w:lang w:eastAsia="ko-KR"/>
        </w:rPr>
        <w:t xml:space="preserve"> </w:t>
      </w:r>
      <w:r w:rsidR="008919BC">
        <w:rPr>
          <w:rFonts w:ascii="Arial" w:eastAsia="맑은 고딕" w:hAnsi="Arial" w:cs="Arial"/>
          <w:color w:val="000000"/>
          <w:lang w:eastAsia="ko-KR"/>
        </w:rPr>
        <w:t xml:space="preserve">However, if the only remaining time is considered for time based criterion, the UE does not prioritize CG-SDT but always selects the earliest resource. Thus, </w:t>
      </w:r>
      <w:r w:rsidR="008919BC">
        <w:rPr>
          <w:rFonts w:ascii="Arial" w:eastAsia="맑은 고딕" w:hAnsi="Arial" w:cs="Arial" w:hint="eastAsia"/>
          <w:color w:val="000000"/>
          <w:lang w:eastAsia="ko-KR"/>
        </w:rPr>
        <w:t>RAN2 needs to further discuss time based cr</w:t>
      </w:r>
      <w:r w:rsidR="008919BC">
        <w:rPr>
          <w:rFonts w:ascii="Arial" w:eastAsia="맑은 고딕" w:hAnsi="Arial" w:cs="Arial"/>
          <w:color w:val="000000"/>
          <w:lang w:eastAsia="ko-KR"/>
        </w:rPr>
        <w:t>iterion.</w:t>
      </w:r>
    </w:p>
    <w:p w:rsidR="000F703C" w:rsidRDefault="00031F4C">
      <w:pPr>
        <w:spacing w:before="120" w:after="120"/>
        <w:rPr>
          <w:rFonts w:ascii="Arial" w:eastAsia="맑은 고딕" w:hAnsi="Arial" w:cs="Arial"/>
          <w:b/>
          <w:color w:val="000000"/>
          <w:lang w:eastAsia="ko-KR"/>
        </w:rPr>
      </w:pPr>
      <w:r>
        <w:rPr>
          <w:rFonts w:ascii="Arial" w:eastAsia="맑은 고딕" w:hAnsi="Arial" w:cs="Arial" w:hint="eastAsia"/>
          <w:b/>
          <w:color w:val="000000"/>
          <w:lang w:eastAsia="ko-KR"/>
        </w:rPr>
        <w:t xml:space="preserve">Proposal 1. </w:t>
      </w:r>
      <w:r>
        <w:rPr>
          <w:rFonts w:ascii="Arial" w:eastAsia="맑은 고딕" w:hAnsi="Arial" w:cs="Arial"/>
          <w:b/>
          <w:color w:val="000000"/>
          <w:lang w:eastAsia="ko-KR"/>
        </w:rPr>
        <w:t>Time based criterion is considered for the determination of CG resource validity.</w:t>
      </w:r>
    </w:p>
    <w:p w:rsidR="000F703C" w:rsidRDefault="000F703C">
      <w:pPr>
        <w:spacing w:before="120" w:after="120"/>
        <w:rPr>
          <w:rFonts w:ascii="Arial" w:eastAsia="맑은 고딕" w:hAnsi="Arial" w:cs="Arial"/>
          <w:color w:val="000000"/>
          <w:lang w:eastAsia="ko-KR"/>
        </w:rPr>
      </w:pPr>
    </w:p>
    <w:p w:rsidR="006006EC" w:rsidRDefault="00031F4C">
      <w:pPr>
        <w:spacing w:before="120" w:after="120"/>
        <w:rPr>
          <w:rFonts w:ascii="Arial" w:eastAsia="맑은 고딕" w:hAnsi="Arial" w:cs="Arial"/>
          <w:color w:val="000000"/>
          <w:lang w:eastAsia="ko-KR"/>
        </w:rPr>
      </w:pPr>
      <w:r>
        <w:rPr>
          <w:rFonts w:ascii="Arial" w:eastAsia="맑은 고딕" w:hAnsi="Arial" w:cs="Arial"/>
          <w:color w:val="000000"/>
          <w:lang w:eastAsia="ko-KR"/>
        </w:rPr>
        <w:t>When the UE performs CG-SDT, if CG-SDT is failed for a certain number of times, it may be thought that the UE should fallback to RA-SDT. This fallback scheme is also considered between "4-step and 2-step" and "SDT and non-SDT". In this regards, in [1], there was discussions whether to allow MAC PDU rebuilding if the payload size is changed during fallback scheme.</w:t>
      </w:r>
      <w:r w:rsidR="006006EC">
        <w:rPr>
          <w:rFonts w:ascii="Arial" w:eastAsia="맑은 고딕" w:hAnsi="Arial" w:cs="Arial"/>
          <w:color w:val="000000"/>
          <w:lang w:eastAsia="ko-KR"/>
        </w:rPr>
        <w:t xml:space="preserve"> </w:t>
      </w:r>
      <w:r w:rsidR="00FF40AD">
        <w:rPr>
          <w:rFonts w:ascii="Arial" w:eastAsia="맑은 고딕" w:hAnsi="Arial" w:cs="Arial"/>
          <w:color w:val="000000"/>
          <w:lang w:eastAsia="ko-KR"/>
        </w:rPr>
        <w:t xml:space="preserve">Before discussing MAC PDU rebuilding, </w:t>
      </w:r>
      <w:r w:rsidR="006006EC">
        <w:rPr>
          <w:rFonts w:ascii="Arial" w:eastAsia="맑은 고딕" w:hAnsi="Arial" w:cs="Arial"/>
          <w:color w:val="000000"/>
          <w:lang w:eastAsia="ko-KR"/>
        </w:rPr>
        <w:t xml:space="preserve">we think </w:t>
      </w:r>
      <w:r w:rsidR="00362779" w:rsidRPr="00362779">
        <w:rPr>
          <w:rFonts w:ascii="Arial" w:eastAsia="맑은 고딕" w:hAnsi="Arial" w:cs="Arial"/>
          <w:color w:val="000000"/>
          <w:lang w:eastAsia="ko-KR"/>
        </w:rPr>
        <w:t>whether fallback scheme is needed or not should be discussed firstly.</w:t>
      </w:r>
      <w:r w:rsidR="00362779">
        <w:rPr>
          <w:rFonts w:ascii="Arial" w:eastAsia="맑은 고딕" w:hAnsi="Arial" w:cs="Arial"/>
          <w:color w:val="000000"/>
          <w:lang w:eastAsia="ko-KR"/>
        </w:rPr>
        <w:t xml:space="preserve"> </w:t>
      </w:r>
    </w:p>
    <w:p w:rsidR="00BD40F4" w:rsidRDefault="004F2E7A">
      <w:pPr>
        <w:spacing w:before="120" w:after="120"/>
        <w:rPr>
          <w:rFonts w:ascii="Arial" w:eastAsia="맑은 고딕" w:hAnsi="Arial" w:cs="Arial"/>
          <w:color w:val="000000"/>
          <w:lang w:eastAsia="ko-KR"/>
        </w:rPr>
      </w:pPr>
      <w:r>
        <w:rPr>
          <w:rFonts w:ascii="Arial" w:eastAsia="맑은 고딕" w:hAnsi="Arial" w:cs="Arial"/>
          <w:color w:val="000000"/>
          <w:lang w:eastAsia="ko-KR"/>
        </w:rPr>
        <w:t xml:space="preserve">Since HARQ retransmission is allowed in the current MAC behaviour, and </w:t>
      </w:r>
      <w:r w:rsidRPr="00DF4A7A">
        <w:rPr>
          <w:rFonts w:ascii="Arial" w:eastAsia="맑은 고딕" w:hAnsi="Arial" w:cs="Arial"/>
          <w:color w:val="000000"/>
          <w:lang w:eastAsia="ko-KR"/>
        </w:rPr>
        <w:t>it would be straightforward to think HARQ retransmission is allowed for CG-SDT and RA-SDT.</w:t>
      </w:r>
      <w:r>
        <w:rPr>
          <w:rFonts w:ascii="Arial" w:eastAsia="맑은 고딕" w:hAnsi="Arial" w:cs="Arial"/>
          <w:color w:val="000000"/>
          <w:lang w:eastAsia="ko-KR"/>
        </w:rPr>
        <w:t xml:space="preserve"> </w:t>
      </w:r>
      <w:r w:rsidR="006006EC">
        <w:rPr>
          <w:rFonts w:ascii="Arial" w:eastAsia="맑은 고딕" w:hAnsi="Arial" w:cs="Arial"/>
          <w:color w:val="000000"/>
          <w:lang w:eastAsia="ko-KR"/>
        </w:rPr>
        <w:t xml:space="preserve">Considering fallback scheme is used to guarantee </w:t>
      </w:r>
      <w:r w:rsidR="006006EC">
        <w:rPr>
          <w:rFonts w:ascii="Arial" w:eastAsia="맑은 고딕" w:hAnsi="Arial" w:cs="Arial" w:hint="eastAsia"/>
          <w:color w:val="000000"/>
          <w:lang w:eastAsia="ko-KR"/>
        </w:rPr>
        <w:t xml:space="preserve">reliability, </w:t>
      </w:r>
      <w:r w:rsidR="006006EC">
        <w:rPr>
          <w:rFonts w:ascii="Arial" w:eastAsia="맑은 고딕" w:hAnsi="Arial" w:cs="Arial"/>
          <w:color w:val="000000"/>
          <w:lang w:eastAsia="ko-KR"/>
        </w:rPr>
        <w:t>we think that HARQ retransmission is sufficient for SDT reliability. When the UE selects a SDT type between CG-SDT and RA-SDT, th</w:t>
      </w:r>
      <w:r w:rsidR="00BD40F4" w:rsidRPr="00BD40F4">
        <w:rPr>
          <w:rFonts w:ascii="Arial" w:eastAsia="맑은 고딕" w:hAnsi="Arial" w:cs="Arial"/>
          <w:color w:val="000000"/>
          <w:lang w:eastAsia="ko-KR"/>
        </w:rPr>
        <w:t>e UE performs the selected SDT type relying on HARQ retransmission for the rest of procedure until the decision of failure.</w:t>
      </w:r>
      <w:r w:rsidR="00BD40F4">
        <w:rPr>
          <w:rFonts w:ascii="Arial" w:eastAsia="맑은 고딕" w:hAnsi="Arial" w:cs="Arial"/>
          <w:color w:val="000000"/>
          <w:lang w:eastAsia="ko-KR"/>
        </w:rPr>
        <w:t xml:space="preserve"> After the failure is determined, UE will perfo</w:t>
      </w:r>
      <w:r w:rsidR="006006EC">
        <w:rPr>
          <w:rFonts w:ascii="Arial" w:eastAsia="맑은 고딕" w:hAnsi="Arial" w:cs="Arial"/>
          <w:color w:val="000000"/>
          <w:lang w:eastAsia="ko-KR"/>
        </w:rPr>
        <w:t>rm retransmission of small data depending on the upper layer. Therefore, we don't think that fallback scheme is needed to guarantee reliability for SDT.</w:t>
      </w:r>
    </w:p>
    <w:p w:rsidR="006006EC" w:rsidRDefault="006006EC" w:rsidP="006006EC">
      <w:pPr>
        <w:spacing w:before="120" w:after="120"/>
        <w:rPr>
          <w:rFonts w:ascii="Arial" w:eastAsia="맑은 고딕" w:hAnsi="Arial" w:cs="Arial"/>
          <w:b/>
          <w:color w:val="000000"/>
          <w:lang w:eastAsia="ko-KR"/>
        </w:rPr>
      </w:pPr>
      <w:r>
        <w:rPr>
          <w:rFonts w:ascii="Arial" w:eastAsia="맑은 고딕" w:hAnsi="Arial" w:cs="Arial" w:hint="eastAsia"/>
          <w:b/>
          <w:color w:val="000000"/>
          <w:lang w:eastAsia="ko-KR"/>
        </w:rPr>
        <w:t xml:space="preserve">Proposal 2. </w:t>
      </w:r>
      <w:r>
        <w:rPr>
          <w:rFonts w:ascii="Arial" w:eastAsia="맑은 고딕" w:hAnsi="Arial" w:cs="Arial"/>
          <w:b/>
          <w:color w:val="000000"/>
          <w:lang w:eastAsia="ko-KR"/>
        </w:rPr>
        <w:t>Fallback scheme is not supported for SDT</w:t>
      </w:r>
    </w:p>
    <w:p w:rsidR="006006EC" w:rsidRDefault="006006EC">
      <w:pPr>
        <w:spacing w:before="120" w:after="120"/>
        <w:rPr>
          <w:rFonts w:ascii="Arial" w:eastAsia="맑은 고딕" w:hAnsi="Arial" w:cs="Arial"/>
          <w:color w:val="000000"/>
          <w:lang w:eastAsia="ko-KR"/>
        </w:rPr>
      </w:pPr>
    </w:p>
    <w:p w:rsidR="000F703C" w:rsidRDefault="00994C46">
      <w:pPr>
        <w:spacing w:before="120" w:after="120"/>
        <w:rPr>
          <w:rFonts w:ascii="Arial" w:eastAsia="맑은 고딕" w:hAnsi="Arial" w:cs="Arial"/>
          <w:color w:val="000000"/>
          <w:lang w:eastAsia="ko-KR"/>
        </w:rPr>
      </w:pPr>
      <w:r>
        <w:rPr>
          <w:rFonts w:ascii="Arial" w:eastAsia="맑은 고딕" w:hAnsi="Arial" w:cs="Arial"/>
          <w:color w:val="000000"/>
          <w:lang w:eastAsia="ko-KR"/>
        </w:rPr>
        <w:t>Even if fallback scheme is supported for SDT, w</w:t>
      </w:r>
      <w:r w:rsidR="006006EC">
        <w:rPr>
          <w:rFonts w:ascii="Arial" w:eastAsia="맑은 고딕" w:hAnsi="Arial" w:cs="Arial" w:hint="eastAsia"/>
          <w:color w:val="000000"/>
          <w:lang w:eastAsia="ko-KR"/>
        </w:rPr>
        <w:t>e think the MAC PDU rebuilding shall not be supported.</w:t>
      </w:r>
      <w:r>
        <w:rPr>
          <w:rFonts w:ascii="Arial" w:eastAsia="맑은 고딕" w:hAnsi="Arial" w:cs="Arial"/>
          <w:color w:val="000000"/>
          <w:lang w:eastAsia="ko-KR"/>
        </w:rPr>
        <w:t xml:space="preserve"> </w:t>
      </w:r>
      <w:r w:rsidR="00031F4C">
        <w:rPr>
          <w:rFonts w:ascii="Arial" w:eastAsia="맑은 고딕" w:hAnsi="Arial" w:cs="Arial"/>
          <w:color w:val="000000"/>
          <w:lang w:eastAsia="ko-KR"/>
        </w:rPr>
        <w:t>In the current specification, the rebuilding of MAC PDU is not allowed in any case because the MAC PDU rebuilding is considered to increase the complexity of MAC behaviour. In Rel-16 2-step RACH, there was similar suggestion to support MAC PDU rebuilding if the UE receives fallbackRAR including UL grant having different size than the MSGA payload. However, due to complexity of MAC behaviour, RAN2 finally determined not to define UE behaviour in such case, i.e., different size of UL grant is not expected. In other words, the network ensures the same size of UL grant in order not to support MAC PDU rebuilding. Thus, we can think the basic principle is not to support MAC PDU rebuilding for fallback scheme and the basic principle should be kept. In addition, even if MAC PDU rebuilding is not supported, there is no problem to transmit SDT. This is because the retransmission will be performed in the upper layer, e.g., RLC or PDCP, after determining the ongoing procedure as a failure.</w:t>
      </w:r>
    </w:p>
    <w:p w:rsidR="000F703C" w:rsidRDefault="00031F4C">
      <w:pPr>
        <w:spacing w:before="120" w:after="120"/>
        <w:rPr>
          <w:rFonts w:ascii="Arial" w:eastAsia="맑은 고딕" w:hAnsi="Arial" w:cs="Arial"/>
          <w:b/>
          <w:color w:val="000000"/>
          <w:lang w:eastAsia="ko-KR"/>
        </w:rPr>
      </w:pPr>
      <w:r>
        <w:rPr>
          <w:rFonts w:ascii="Arial" w:eastAsia="맑은 고딕" w:hAnsi="Arial" w:cs="Arial" w:hint="eastAsia"/>
          <w:b/>
          <w:color w:val="000000"/>
          <w:lang w:eastAsia="ko-KR"/>
        </w:rPr>
        <w:t xml:space="preserve">Proposal </w:t>
      </w:r>
      <w:r w:rsidR="00994C46">
        <w:rPr>
          <w:rFonts w:ascii="Arial" w:eastAsia="맑은 고딕" w:hAnsi="Arial" w:cs="Arial"/>
          <w:b/>
          <w:color w:val="000000"/>
          <w:lang w:eastAsia="ko-KR"/>
        </w:rPr>
        <w:t>3</w:t>
      </w:r>
      <w:r>
        <w:rPr>
          <w:rFonts w:ascii="Arial" w:eastAsia="맑은 고딕" w:hAnsi="Arial" w:cs="Arial" w:hint="eastAsia"/>
          <w:b/>
          <w:color w:val="000000"/>
          <w:lang w:eastAsia="ko-KR"/>
        </w:rPr>
        <w:t xml:space="preserve">. MAC PDU rebuilding is not </w:t>
      </w:r>
      <w:r>
        <w:rPr>
          <w:rFonts w:ascii="Arial" w:eastAsia="맑은 고딕" w:hAnsi="Arial" w:cs="Arial"/>
          <w:b/>
          <w:color w:val="000000"/>
          <w:lang w:eastAsia="ko-KR"/>
        </w:rPr>
        <w:t>supported</w:t>
      </w:r>
      <w:r>
        <w:rPr>
          <w:rFonts w:ascii="Arial" w:eastAsia="맑은 고딕" w:hAnsi="Arial" w:cs="Arial" w:hint="eastAsia"/>
          <w:b/>
          <w:color w:val="000000"/>
          <w:lang w:eastAsia="ko-KR"/>
        </w:rPr>
        <w:t xml:space="preserve"> </w:t>
      </w:r>
      <w:r>
        <w:rPr>
          <w:rFonts w:ascii="Arial" w:eastAsia="맑은 고딕" w:hAnsi="Arial" w:cs="Arial"/>
          <w:b/>
          <w:color w:val="000000"/>
          <w:lang w:eastAsia="ko-KR"/>
        </w:rPr>
        <w:t>for fallback scheme.</w:t>
      </w:r>
    </w:p>
    <w:p w:rsidR="000F703C" w:rsidRDefault="000F703C">
      <w:pPr>
        <w:spacing w:before="120" w:after="120"/>
        <w:rPr>
          <w:rFonts w:ascii="Arial" w:eastAsia="맑은 고딕" w:hAnsi="Arial" w:cs="Arial"/>
          <w:color w:val="000000"/>
          <w:lang w:eastAsia="ko-KR"/>
        </w:rPr>
      </w:pPr>
    </w:p>
    <w:p w:rsidR="000F703C" w:rsidRDefault="00031F4C">
      <w:pPr>
        <w:pStyle w:val="1"/>
        <w:spacing w:line="300" w:lineRule="atLeast"/>
        <w:rPr>
          <w:noProof/>
          <w:lang w:val="en-US" w:eastAsia="ko-KR"/>
        </w:rPr>
      </w:pPr>
      <w:r>
        <w:rPr>
          <w:rFonts w:eastAsia="맑은 고딕" w:hint="eastAsia"/>
          <w:lang w:val="en-US" w:eastAsia="ko-KR"/>
        </w:rPr>
        <w:t>3</w:t>
      </w:r>
      <w:r>
        <w:rPr>
          <w:rFonts w:eastAsia="맑은 고딕"/>
          <w:lang w:val="en-US" w:eastAsia="ko-KR"/>
        </w:rPr>
        <w:t>.</w:t>
      </w:r>
      <w:r>
        <w:rPr>
          <w:i/>
          <w:noProof/>
          <w:lang w:val="en-US"/>
        </w:rPr>
        <w:tab/>
      </w:r>
      <w:r>
        <w:rPr>
          <w:rFonts w:hint="eastAsia"/>
          <w:noProof/>
          <w:lang w:val="en-US" w:eastAsia="ko-KR"/>
        </w:rPr>
        <w:t>Conclusion</w:t>
      </w:r>
    </w:p>
    <w:p w:rsidR="000F703C" w:rsidRDefault="00031F4C">
      <w:pPr>
        <w:rPr>
          <w:rFonts w:ascii="Arial" w:eastAsia="맑은 고딕" w:hAnsi="Arial" w:cs="Arial"/>
          <w:color w:val="000000"/>
          <w:lang w:eastAsia="ko-KR"/>
        </w:rPr>
      </w:pPr>
      <w:r>
        <w:rPr>
          <w:rFonts w:ascii="Arial" w:hAnsi="Arial" w:cs="Arial"/>
          <w:lang w:val="en-US" w:eastAsia="ko-KR"/>
        </w:rPr>
        <w:t>In this contribution, we discuss CG Resource validity and MAC PDU rebuilding on SDT, and make proposals as follows,</w:t>
      </w:r>
    </w:p>
    <w:p w:rsidR="000F703C" w:rsidRDefault="00031F4C">
      <w:pPr>
        <w:spacing w:before="120" w:after="120"/>
        <w:rPr>
          <w:rFonts w:ascii="Arial" w:eastAsia="맑은 고딕" w:hAnsi="Arial" w:cs="Arial"/>
          <w:b/>
          <w:color w:val="000000"/>
          <w:lang w:eastAsia="ko-KR"/>
        </w:rPr>
      </w:pPr>
      <w:r>
        <w:rPr>
          <w:rFonts w:ascii="Arial" w:eastAsia="맑은 고딕" w:hAnsi="Arial" w:cs="Arial" w:hint="eastAsia"/>
          <w:b/>
          <w:color w:val="000000"/>
          <w:lang w:eastAsia="ko-KR"/>
        </w:rPr>
        <w:t xml:space="preserve">Proposal 1. </w:t>
      </w:r>
      <w:r>
        <w:rPr>
          <w:rFonts w:ascii="Arial" w:eastAsia="맑은 고딕" w:hAnsi="Arial" w:cs="Arial"/>
          <w:b/>
          <w:color w:val="000000"/>
          <w:lang w:eastAsia="ko-KR"/>
        </w:rPr>
        <w:t>Time based criterion is considered for the determination of CG resource validity.</w:t>
      </w:r>
    </w:p>
    <w:p w:rsidR="00994C46" w:rsidRDefault="00994C46" w:rsidP="00994C46">
      <w:pPr>
        <w:spacing w:before="120" w:after="120"/>
        <w:rPr>
          <w:rFonts w:ascii="Arial" w:eastAsia="맑은 고딕" w:hAnsi="Arial" w:cs="Arial"/>
          <w:b/>
          <w:color w:val="000000"/>
          <w:lang w:eastAsia="ko-KR"/>
        </w:rPr>
      </w:pPr>
      <w:r>
        <w:rPr>
          <w:rFonts w:ascii="Arial" w:eastAsia="맑은 고딕" w:hAnsi="Arial" w:cs="Arial" w:hint="eastAsia"/>
          <w:b/>
          <w:color w:val="000000"/>
          <w:lang w:eastAsia="ko-KR"/>
        </w:rPr>
        <w:t xml:space="preserve">Proposal 2. </w:t>
      </w:r>
      <w:r>
        <w:rPr>
          <w:rFonts w:ascii="Arial" w:eastAsia="맑은 고딕" w:hAnsi="Arial" w:cs="Arial"/>
          <w:b/>
          <w:color w:val="000000"/>
          <w:lang w:eastAsia="ko-KR"/>
        </w:rPr>
        <w:t>Fallback scheme is not supported for SDT</w:t>
      </w:r>
    </w:p>
    <w:p w:rsidR="000F703C" w:rsidRPr="00994C46" w:rsidRDefault="00994C46">
      <w:pPr>
        <w:spacing w:before="120" w:after="120"/>
        <w:rPr>
          <w:rFonts w:ascii="Arial" w:eastAsia="맑은 고딕" w:hAnsi="Arial" w:cs="Arial"/>
          <w:b/>
          <w:color w:val="000000"/>
          <w:lang w:eastAsia="ko-KR"/>
        </w:rPr>
      </w:pPr>
      <w:r>
        <w:rPr>
          <w:rFonts w:ascii="Arial" w:eastAsia="맑은 고딕" w:hAnsi="Arial" w:cs="Arial" w:hint="eastAsia"/>
          <w:b/>
          <w:color w:val="000000"/>
          <w:lang w:eastAsia="ko-KR"/>
        </w:rPr>
        <w:t xml:space="preserve">Proposal </w:t>
      </w:r>
      <w:r>
        <w:rPr>
          <w:rFonts w:ascii="Arial" w:eastAsia="맑은 고딕" w:hAnsi="Arial" w:cs="Arial"/>
          <w:b/>
          <w:color w:val="000000"/>
          <w:lang w:eastAsia="ko-KR"/>
        </w:rPr>
        <w:t>3</w:t>
      </w:r>
      <w:r>
        <w:rPr>
          <w:rFonts w:ascii="Arial" w:eastAsia="맑은 고딕" w:hAnsi="Arial" w:cs="Arial" w:hint="eastAsia"/>
          <w:b/>
          <w:color w:val="000000"/>
          <w:lang w:eastAsia="ko-KR"/>
        </w:rPr>
        <w:t xml:space="preserve">. MAC PDU rebuilding is not </w:t>
      </w:r>
      <w:r>
        <w:rPr>
          <w:rFonts w:ascii="Arial" w:eastAsia="맑은 고딕" w:hAnsi="Arial" w:cs="Arial"/>
          <w:b/>
          <w:color w:val="000000"/>
          <w:lang w:eastAsia="ko-KR"/>
        </w:rPr>
        <w:t>supported</w:t>
      </w:r>
      <w:r>
        <w:rPr>
          <w:rFonts w:ascii="Arial" w:eastAsia="맑은 고딕" w:hAnsi="Arial" w:cs="Arial" w:hint="eastAsia"/>
          <w:b/>
          <w:color w:val="000000"/>
          <w:lang w:eastAsia="ko-KR"/>
        </w:rPr>
        <w:t xml:space="preserve"> </w:t>
      </w:r>
      <w:r>
        <w:rPr>
          <w:rFonts w:ascii="Arial" w:eastAsia="맑은 고딕" w:hAnsi="Arial" w:cs="Arial"/>
          <w:b/>
          <w:color w:val="000000"/>
          <w:lang w:eastAsia="ko-KR"/>
        </w:rPr>
        <w:t>for fallback scheme.</w:t>
      </w:r>
    </w:p>
    <w:p w:rsidR="000F703C" w:rsidRDefault="000F703C">
      <w:pPr>
        <w:spacing w:before="120" w:after="120"/>
        <w:rPr>
          <w:rFonts w:ascii="Arial" w:eastAsia="맑은 고딕" w:hAnsi="Arial" w:cs="Arial"/>
          <w:b/>
          <w:color w:val="000000"/>
          <w:lang w:eastAsia="ko-KR"/>
        </w:rPr>
      </w:pPr>
    </w:p>
    <w:p w:rsidR="000F703C" w:rsidRDefault="00031F4C">
      <w:pPr>
        <w:pStyle w:val="1"/>
        <w:spacing w:line="300" w:lineRule="atLeast"/>
        <w:rPr>
          <w:rFonts w:cs="Arial"/>
          <w:noProof/>
          <w:lang w:val="en-US" w:eastAsia="ko-KR"/>
        </w:rPr>
      </w:pPr>
      <w:r>
        <w:rPr>
          <w:rFonts w:eastAsia="맑은 고딕" w:cs="Arial"/>
          <w:lang w:val="en-US" w:eastAsia="ko-KR"/>
        </w:rPr>
        <w:t>4.</w:t>
      </w:r>
      <w:r>
        <w:rPr>
          <w:rFonts w:cs="Arial"/>
          <w:i/>
          <w:noProof/>
          <w:lang w:val="en-US"/>
        </w:rPr>
        <w:tab/>
      </w:r>
      <w:r>
        <w:rPr>
          <w:rFonts w:cs="Arial"/>
          <w:noProof/>
          <w:lang w:val="en-US" w:eastAsia="ko-KR"/>
        </w:rPr>
        <w:t>Reference</w:t>
      </w:r>
    </w:p>
    <w:p w:rsidR="000F703C" w:rsidRDefault="00031F4C">
      <w:pPr>
        <w:numPr>
          <w:ilvl w:val="0"/>
          <w:numId w:val="27"/>
        </w:numPr>
        <w:spacing w:after="0"/>
        <w:rPr>
          <w:rFonts w:ascii="Arial" w:hAnsi="Arial" w:cs="Arial"/>
          <w:lang w:eastAsia="ko-KR"/>
        </w:rPr>
      </w:pPr>
      <w:bookmarkStart w:id="1" w:name="_Toc20428314"/>
      <w:r>
        <w:rPr>
          <w:rFonts w:ascii="Arial" w:hAnsi="Arial" w:cs="Arial"/>
          <w:lang w:eastAsia="ko-KR"/>
        </w:rPr>
        <w:t>R2-21xxxxx</w:t>
      </w:r>
      <w:r>
        <w:rPr>
          <w:rFonts w:ascii="Arial" w:hAnsi="Arial" w:cs="Arial"/>
          <w:lang w:eastAsia="ko-KR"/>
        </w:rPr>
        <w:tab/>
      </w:r>
      <w:r>
        <w:rPr>
          <w:rFonts w:ascii="Arial" w:hAnsi="Arial" w:cs="Arial"/>
          <w:lang w:eastAsia="ko-KR"/>
        </w:rPr>
        <w:tab/>
        <w:t>[POST112-e][551][SDT]  Common aspects between CG and RACH (ZTE)</w:t>
      </w:r>
      <w:bookmarkEnd w:id="1"/>
    </w:p>
    <w:p w:rsidR="000F703C" w:rsidRDefault="000F703C">
      <w:pPr>
        <w:numPr>
          <w:ilvl w:val="0"/>
          <w:numId w:val="27"/>
        </w:numPr>
        <w:spacing w:after="0"/>
        <w:rPr>
          <w:rFonts w:ascii="Arial" w:hAnsi="Arial" w:cs="Arial"/>
          <w:lang w:eastAsia="ko-KR"/>
        </w:rPr>
      </w:pPr>
    </w:p>
    <w:sectPr w:rsidR="000F703C">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6196" w:rsidRDefault="00546196">
      <w:pPr>
        <w:pStyle w:val="1"/>
      </w:pPr>
      <w:r>
        <w:separator/>
      </w:r>
    </w:p>
  </w:endnote>
  <w:endnote w:type="continuationSeparator" w:id="0">
    <w:p w:rsidR="00546196" w:rsidRDefault="00546196">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703C" w:rsidRDefault="00031F4C">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rsidR="000F703C" w:rsidRDefault="000F703C">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703C" w:rsidRDefault="00031F4C">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1D1468">
      <w:rPr>
        <w:rStyle w:val="af1"/>
      </w:rPr>
      <w:t>1</w:t>
    </w:r>
    <w:r>
      <w:rPr>
        <w:rStyle w:val="af1"/>
      </w:rPr>
      <w:fldChar w:fldCharType="end"/>
    </w:r>
  </w:p>
  <w:p w:rsidR="000F703C" w:rsidRDefault="000F703C">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6196" w:rsidRDefault="00546196">
      <w:pPr>
        <w:pStyle w:val="1"/>
      </w:pPr>
      <w:r>
        <w:separator/>
      </w:r>
    </w:p>
  </w:footnote>
  <w:footnote w:type="continuationSeparator" w:id="0">
    <w:p w:rsidR="00546196" w:rsidRDefault="00546196">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F3966"/>
    <w:multiLevelType w:val="hybridMultilevel"/>
    <w:tmpl w:val="F4FE747C"/>
    <w:lvl w:ilvl="0" w:tplc="7ED29DB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2552047"/>
    <w:multiLevelType w:val="multilevel"/>
    <w:tmpl w:val="02552047"/>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864"/>
        </w:tabs>
        <w:ind w:left="864" w:hanging="864"/>
      </w:pPr>
      <w:rPr>
        <w:rFonts w:hint="default"/>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646489D"/>
    <w:multiLevelType w:val="hybridMultilevel"/>
    <w:tmpl w:val="BA0018EA"/>
    <w:lvl w:ilvl="0" w:tplc="1AEE7F44">
      <w:start w:val="2"/>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201E0F"/>
    <w:multiLevelType w:val="hybridMultilevel"/>
    <w:tmpl w:val="A9CEBCD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DAE0CB0"/>
    <w:multiLevelType w:val="hybridMultilevel"/>
    <w:tmpl w:val="1AE66C4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3CD5641"/>
    <w:multiLevelType w:val="hybridMultilevel"/>
    <w:tmpl w:val="213412CE"/>
    <w:lvl w:ilvl="0" w:tplc="05864AC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AFB4D6B"/>
    <w:multiLevelType w:val="hybridMultilevel"/>
    <w:tmpl w:val="5E5C776E"/>
    <w:lvl w:ilvl="0" w:tplc="BCB8942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4FA3EDB"/>
    <w:multiLevelType w:val="hybridMultilevel"/>
    <w:tmpl w:val="C99C14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8A4FC6"/>
    <w:multiLevelType w:val="hybridMultilevel"/>
    <w:tmpl w:val="87427B1A"/>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A84546D"/>
    <w:multiLevelType w:val="hybridMultilevel"/>
    <w:tmpl w:val="3B52378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C847577"/>
    <w:multiLevelType w:val="hybridMultilevel"/>
    <w:tmpl w:val="91528F30"/>
    <w:lvl w:ilvl="0" w:tplc="856CE212">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4153A0B"/>
    <w:multiLevelType w:val="hybridMultilevel"/>
    <w:tmpl w:val="3BFC99BE"/>
    <w:lvl w:ilvl="0" w:tplc="87AA2036">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4350ECA"/>
    <w:multiLevelType w:val="hybridMultilevel"/>
    <w:tmpl w:val="709A6336"/>
    <w:lvl w:ilvl="0" w:tplc="2888605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8E4420B"/>
    <w:multiLevelType w:val="hybridMultilevel"/>
    <w:tmpl w:val="DAD606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96B0D6F"/>
    <w:multiLevelType w:val="hybridMultilevel"/>
    <w:tmpl w:val="C276D65C"/>
    <w:lvl w:ilvl="0" w:tplc="FF5C1212">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A256D93"/>
    <w:multiLevelType w:val="hybridMultilevel"/>
    <w:tmpl w:val="C4AEC542"/>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9" w15:restartNumberingAfterBreak="0">
    <w:nsid w:val="3B613E7B"/>
    <w:multiLevelType w:val="hybridMultilevel"/>
    <w:tmpl w:val="0CBAB04C"/>
    <w:lvl w:ilvl="0" w:tplc="6562B9DE">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D757EE2"/>
    <w:multiLevelType w:val="hybridMultilevel"/>
    <w:tmpl w:val="EAEABE1E"/>
    <w:lvl w:ilvl="0" w:tplc="3476D99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45522FF3"/>
    <w:multiLevelType w:val="hybridMultilevel"/>
    <w:tmpl w:val="8578B65E"/>
    <w:lvl w:ilvl="0" w:tplc="BA6EC68E">
      <w:start w:val="1"/>
      <w:numFmt w:val="bullet"/>
      <w:lvlText w:val="•"/>
      <w:lvlJc w:val="left"/>
      <w:pPr>
        <w:tabs>
          <w:tab w:val="num" w:pos="720"/>
        </w:tabs>
        <w:ind w:left="720" w:hanging="360"/>
      </w:pPr>
      <w:rPr>
        <w:rFonts w:ascii="Arial" w:hAnsi="Arial" w:hint="default"/>
      </w:rPr>
    </w:lvl>
    <w:lvl w:ilvl="1" w:tplc="E1A03CA0" w:tentative="1">
      <w:start w:val="1"/>
      <w:numFmt w:val="bullet"/>
      <w:lvlText w:val="•"/>
      <w:lvlJc w:val="left"/>
      <w:pPr>
        <w:tabs>
          <w:tab w:val="num" w:pos="1440"/>
        </w:tabs>
        <w:ind w:left="1440" w:hanging="360"/>
      </w:pPr>
      <w:rPr>
        <w:rFonts w:ascii="Arial" w:hAnsi="Arial" w:hint="default"/>
      </w:rPr>
    </w:lvl>
    <w:lvl w:ilvl="2" w:tplc="320AF1F2" w:tentative="1">
      <w:start w:val="1"/>
      <w:numFmt w:val="bullet"/>
      <w:lvlText w:val="•"/>
      <w:lvlJc w:val="left"/>
      <w:pPr>
        <w:tabs>
          <w:tab w:val="num" w:pos="2160"/>
        </w:tabs>
        <w:ind w:left="2160" w:hanging="360"/>
      </w:pPr>
      <w:rPr>
        <w:rFonts w:ascii="Arial" w:hAnsi="Arial" w:hint="default"/>
      </w:rPr>
    </w:lvl>
    <w:lvl w:ilvl="3" w:tplc="7DB8938E" w:tentative="1">
      <w:start w:val="1"/>
      <w:numFmt w:val="bullet"/>
      <w:lvlText w:val="•"/>
      <w:lvlJc w:val="left"/>
      <w:pPr>
        <w:tabs>
          <w:tab w:val="num" w:pos="2880"/>
        </w:tabs>
        <w:ind w:left="2880" w:hanging="360"/>
      </w:pPr>
      <w:rPr>
        <w:rFonts w:ascii="Arial" w:hAnsi="Arial" w:hint="default"/>
      </w:rPr>
    </w:lvl>
    <w:lvl w:ilvl="4" w:tplc="4FAAA5AA" w:tentative="1">
      <w:start w:val="1"/>
      <w:numFmt w:val="bullet"/>
      <w:lvlText w:val="•"/>
      <w:lvlJc w:val="left"/>
      <w:pPr>
        <w:tabs>
          <w:tab w:val="num" w:pos="3600"/>
        </w:tabs>
        <w:ind w:left="3600" w:hanging="360"/>
      </w:pPr>
      <w:rPr>
        <w:rFonts w:ascii="Arial" w:hAnsi="Arial" w:hint="default"/>
      </w:rPr>
    </w:lvl>
    <w:lvl w:ilvl="5" w:tplc="E84AE33A" w:tentative="1">
      <w:start w:val="1"/>
      <w:numFmt w:val="bullet"/>
      <w:lvlText w:val="•"/>
      <w:lvlJc w:val="left"/>
      <w:pPr>
        <w:tabs>
          <w:tab w:val="num" w:pos="4320"/>
        </w:tabs>
        <w:ind w:left="4320" w:hanging="360"/>
      </w:pPr>
      <w:rPr>
        <w:rFonts w:ascii="Arial" w:hAnsi="Arial" w:hint="default"/>
      </w:rPr>
    </w:lvl>
    <w:lvl w:ilvl="6" w:tplc="E0C6BB64" w:tentative="1">
      <w:start w:val="1"/>
      <w:numFmt w:val="bullet"/>
      <w:lvlText w:val="•"/>
      <w:lvlJc w:val="left"/>
      <w:pPr>
        <w:tabs>
          <w:tab w:val="num" w:pos="5040"/>
        </w:tabs>
        <w:ind w:left="5040" w:hanging="360"/>
      </w:pPr>
      <w:rPr>
        <w:rFonts w:ascii="Arial" w:hAnsi="Arial" w:hint="default"/>
      </w:rPr>
    </w:lvl>
    <w:lvl w:ilvl="7" w:tplc="A17ED7B2" w:tentative="1">
      <w:start w:val="1"/>
      <w:numFmt w:val="bullet"/>
      <w:lvlText w:val="•"/>
      <w:lvlJc w:val="left"/>
      <w:pPr>
        <w:tabs>
          <w:tab w:val="num" w:pos="5760"/>
        </w:tabs>
        <w:ind w:left="5760" w:hanging="360"/>
      </w:pPr>
      <w:rPr>
        <w:rFonts w:ascii="Arial" w:hAnsi="Arial" w:hint="default"/>
      </w:rPr>
    </w:lvl>
    <w:lvl w:ilvl="8" w:tplc="3E8CE46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6A32E64"/>
    <w:multiLevelType w:val="hybridMultilevel"/>
    <w:tmpl w:val="1F9CEA12"/>
    <w:lvl w:ilvl="0" w:tplc="3440F51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48A806C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9A44BE3"/>
    <w:multiLevelType w:val="hybridMultilevel"/>
    <w:tmpl w:val="FB8A6212"/>
    <w:lvl w:ilvl="0" w:tplc="D142520C">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BF24193"/>
    <w:multiLevelType w:val="hybridMultilevel"/>
    <w:tmpl w:val="BBA4149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4EA97F3B"/>
    <w:multiLevelType w:val="hybridMultilevel"/>
    <w:tmpl w:val="94761A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5488257C"/>
    <w:multiLevelType w:val="hybridMultilevel"/>
    <w:tmpl w:val="7952B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56703BBB"/>
    <w:multiLevelType w:val="hybridMultilevel"/>
    <w:tmpl w:val="53D0D91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BF0572B"/>
    <w:multiLevelType w:val="hybridMultilevel"/>
    <w:tmpl w:val="E0DC00BC"/>
    <w:lvl w:ilvl="0" w:tplc="35984F2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61033014"/>
    <w:multiLevelType w:val="singleLevel"/>
    <w:tmpl w:val="61033014"/>
    <w:lvl w:ilvl="0">
      <w:start w:val="1"/>
      <w:numFmt w:val="bullet"/>
      <w:lvlText w:val=""/>
      <w:lvlJc w:val="left"/>
      <w:pPr>
        <w:ind w:left="420" w:hanging="420"/>
      </w:pPr>
      <w:rPr>
        <w:rFonts w:ascii="Wingdings" w:hAnsi="Wingdings" w:hint="default"/>
      </w:rPr>
    </w:lvl>
  </w:abstractNum>
  <w:abstractNum w:abstractNumId="36" w15:restartNumberingAfterBreak="0">
    <w:nsid w:val="6308797C"/>
    <w:multiLevelType w:val="multilevel"/>
    <w:tmpl w:val="ACF84072"/>
    <w:lvl w:ilvl="0">
      <w:start w:val="1"/>
      <w:numFmt w:val="decimal"/>
      <w:lvlText w:val="[%1]"/>
      <w:lvlJc w:val="left"/>
      <w:pPr>
        <w:ind w:left="360" w:hanging="36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7"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66336F13"/>
    <w:multiLevelType w:val="hybridMultilevel"/>
    <w:tmpl w:val="518A7B14"/>
    <w:lvl w:ilvl="0" w:tplc="B448E4C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40" w15:restartNumberingAfterBreak="0">
    <w:nsid w:val="6CE72F92"/>
    <w:multiLevelType w:val="hybridMultilevel"/>
    <w:tmpl w:val="60FC4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D830734"/>
    <w:multiLevelType w:val="hybridMultilevel"/>
    <w:tmpl w:val="F1CCB536"/>
    <w:lvl w:ilvl="0" w:tplc="26FCDC7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2" w15:restartNumberingAfterBreak="0">
    <w:nsid w:val="73D75F1E"/>
    <w:multiLevelType w:val="hybridMultilevel"/>
    <w:tmpl w:val="DBCE10F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15:restartNumberingAfterBreak="0">
    <w:nsid w:val="7C2D30ED"/>
    <w:multiLevelType w:val="hybridMultilevel"/>
    <w:tmpl w:val="C40EBF44"/>
    <w:lvl w:ilvl="0" w:tplc="F476F5A8">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47" w15:restartNumberingAfterBreak="0">
    <w:nsid w:val="7FE9686D"/>
    <w:multiLevelType w:val="hybridMultilevel"/>
    <w:tmpl w:val="78C83258"/>
    <w:lvl w:ilvl="0" w:tplc="401A82D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22"/>
  </w:num>
  <w:num w:numId="2">
    <w:abstractNumId w:val="4"/>
  </w:num>
  <w:num w:numId="3">
    <w:abstractNumId w:val="26"/>
  </w:num>
  <w:num w:numId="4">
    <w:abstractNumId w:val="46"/>
  </w:num>
  <w:num w:numId="5">
    <w:abstractNumId w:val="27"/>
  </w:num>
  <w:num w:numId="6">
    <w:abstractNumId w:val="44"/>
  </w:num>
  <w:num w:numId="7">
    <w:abstractNumId w:val="18"/>
  </w:num>
  <w:num w:numId="8">
    <w:abstractNumId w:val="39"/>
  </w:num>
  <w:num w:numId="9">
    <w:abstractNumId w:val="11"/>
  </w:num>
  <w:num w:numId="10">
    <w:abstractNumId w:val="5"/>
  </w:num>
  <w:num w:numId="11">
    <w:abstractNumId w:val="15"/>
  </w:num>
  <w:num w:numId="12">
    <w:abstractNumId w:val="21"/>
  </w:num>
  <w:num w:numId="13">
    <w:abstractNumId w:val="33"/>
  </w:num>
  <w:num w:numId="14">
    <w:abstractNumId w:val="34"/>
  </w:num>
  <w:num w:numId="15">
    <w:abstractNumId w:val="29"/>
  </w:num>
  <w:num w:numId="16">
    <w:abstractNumId w:val="17"/>
  </w:num>
  <w:num w:numId="17">
    <w:abstractNumId w:val="42"/>
  </w:num>
  <w:num w:numId="18">
    <w:abstractNumId w:val="8"/>
  </w:num>
  <w:num w:numId="19">
    <w:abstractNumId w:val="38"/>
  </w:num>
  <w:num w:numId="20">
    <w:abstractNumId w:val="16"/>
  </w:num>
  <w:num w:numId="21">
    <w:abstractNumId w:val="0"/>
  </w:num>
  <w:num w:numId="22">
    <w:abstractNumId w:val="14"/>
  </w:num>
  <w:num w:numId="23">
    <w:abstractNumId w:val="6"/>
  </w:num>
  <w:num w:numId="24">
    <w:abstractNumId w:val="32"/>
  </w:num>
  <w:num w:numId="25">
    <w:abstractNumId w:val="3"/>
  </w:num>
  <w:num w:numId="26">
    <w:abstractNumId w:val="10"/>
  </w:num>
  <w:num w:numId="27">
    <w:abstractNumId w:val="36"/>
  </w:num>
  <w:num w:numId="28">
    <w:abstractNumId w:val="30"/>
  </w:num>
  <w:num w:numId="29">
    <w:abstractNumId w:val="41"/>
  </w:num>
  <w:num w:numId="30">
    <w:abstractNumId w:val="20"/>
  </w:num>
  <w:num w:numId="31">
    <w:abstractNumId w:val="19"/>
  </w:num>
  <w:num w:numId="32">
    <w:abstractNumId w:val="40"/>
  </w:num>
  <w:num w:numId="33">
    <w:abstractNumId w:val="13"/>
  </w:num>
  <w:num w:numId="34">
    <w:abstractNumId w:val="45"/>
  </w:num>
  <w:num w:numId="35">
    <w:abstractNumId w:val="9"/>
  </w:num>
  <w:num w:numId="36">
    <w:abstractNumId w:val="28"/>
  </w:num>
  <w:num w:numId="37">
    <w:abstractNumId w:val="7"/>
  </w:num>
  <w:num w:numId="38">
    <w:abstractNumId w:val="31"/>
  </w:num>
  <w:num w:numId="39">
    <w:abstractNumId w:val="24"/>
  </w:num>
  <w:num w:numId="40">
    <w:abstractNumId w:val="43"/>
  </w:num>
  <w:num w:numId="41">
    <w:abstractNumId w:val="35"/>
  </w:num>
  <w:num w:numId="42">
    <w:abstractNumId w:val="12"/>
  </w:num>
  <w:num w:numId="43">
    <w:abstractNumId w:val="1"/>
  </w:num>
  <w:num w:numId="44">
    <w:abstractNumId w:val="2"/>
  </w:num>
  <w:num w:numId="45">
    <w:abstractNumId w:val="37"/>
  </w:num>
  <w:num w:numId="46">
    <w:abstractNumId w:val="47"/>
  </w:num>
  <w:num w:numId="47">
    <w:abstractNumId w:val="23"/>
  </w:num>
  <w:num w:numId="48">
    <w:abstractNumId w:val="2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03C"/>
    <w:rsid w:val="00031F4C"/>
    <w:rsid w:val="000F703C"/>
    <w:rsid w:val="001D1468"/>
    <w:rsid w:val="00344DCC"/>
    <w:rsid w:val="00362779"/>
    <w:rsid w:val="004F2E7A"/>
    <w:rsid w:val="00546196"/>
    <w:rsid w:val="00584F05"/>
    <w:rsid w:val="006006EC"/>
    <w:rsid w:val="00721BA9"/>
    <w:rsid w:val="008919BC"/>
    <w:rsid w:val="00994C46"/>
    <w:rsid w:val="00BD40F4"/>
    <w:rsid w:val="00D837B1"/>
    <w:rsid w:val="00DF4A7A"/>
    <w:rsid w:val="00F32123"/>
    <w:rsid w:val="00FF40A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5:chartTrackingRefBased/>
  <w15:docId w15:val="{4906A837-77B0-48CC-A90C-0F3D86058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99"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Ca,cap1,cap2,cap11,Légende-figure,Légende-figure Char,Beschrifubg,Beschriftung Char,label,cap11 Char Char Char,captions,Beschriftung Char Char"/>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1"/>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pPr>
      <w:spacing w:before="120" w:after="120"/>
    </w:pPr>
    <w:rPr>
      <w:rFonts w:ascii="Arial" w:eastAsia="맑은 고딕" w:hAnsi="Arial" w:cs="Arial"/>
      <w:color w:val="000000"/>
      <w:lang w:eastAsia="ko-KR"/>
    </w:rPr>
  </w:style>
  <w:style w:type="character" w:customStyle="1" w:styleId="Doc-text2Char">
    <w:name w:val="Doc-text2 Char"/>
    <w:link w:val="Doc-text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qFormat/>
    <w:rPr>
      <w:rFonts w:eastAsia="SimSun"/>
      <w:lang w:val="en-GB" w:eastAsia="en-US" w:bidi="ar-SA"/>
    </w:rPr>
  </w:style>
  <w:style w:type="character" w:customStyle="1" w:styleId="NOChar">
    <w:name w:val="NO Char"/>
    <w:link w:val="NO"/>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
    <w:basedOn w:val="a"/>
    <w:link w:val="Char4"/>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rPr>
      <w:rFonts w:ascii="Courier New" w:hAnsi="Courier New"/>
      <w:noProof/>
      <w:sz w:val="16"/>
      <w:lang w:val="en-US" w:eastAsia="en-US" w:bidi="ar-SA"/>
    </w:rPr>
  </w:style>
  <w:style w:type="character" w:customStyle="1" w:styleId="TACChar">
    <w:name w:val="TAC Char"/>
    <w:link w:val="TAC"/>
    <w:locked/>
    <w:rPr>
      <w:rFonts w:ascii="Arial" w:hAnsi="Arial"/>
      <w:sz w:val="18"/>
      <w:lang w:val="en-GB" w:eastAsia="en-US"/>
    </w:rPr>
  </w:style>
  <w:style w:type="character" w:customStyle="1" w:styleId="TAHCar">
    <w:name w:val="TAH Car"/>
    <w:link w:val="TAH"/>
    <w:rPr>
      <w:rFonts w:ascii="Arial" w:hAnsi="Arial"/>
      <w:b/>
      <w:sz w:val="18"/>
      <w:lang w:val="en-GB" w:eastAsia="en-US"/>
    </w:rPr>
  </w:style>
  <w:style w:type="paragraph" w:customStyle="1" w:styleId="Proposal">
    <w:name w:val="Proposal"/>
    <w:basedOn w:val="a"/>
    <w:qFormat/>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Pr>
      <w:rFonts w:ascii="Arial" w:hAnsi="Arial"/>
      <w:sz w:val="18"/>
      <w:lang w:eastAsia="en-US"/>
    </w:rPr>
  </w:style>
  <w:style w:type="character" w:customStyle="1" w:styleId="THChar">
    <w:name w:val="TH Char"/>
    <w:link w:val="TH"/>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Pr>
      <w:rFonts w:ascii="Arial" w:hAnsi="Arial"/>
      <w:b/>
      <w:noProof/>
      <w:sz w:val="18"/>
      <w:lang w:eastAsia="en-US"/>
    </w:rPr>
  </w:style>
  <w:style w:type="character" w:customStyle="1" w:styleId="EditorsNoteCharChar">
    <w:name w:val="Editor's Note Char Char"/>
    <w:rPr>
      <w:rFonts w:eastAsia="Times New Roman"/>
      <w:color w:val="FF0000"/>
      <w:lang w:val="en-GB" w:eastAsia="ja-JP"/>
    </w:rPr>
  </w:style>
  <w:style w:type="paragraph" w:customStyle="1" w:styleId="Observation">
    <w:name w:val="Observation"/>
    <w:basedOn w:val="a"/>
    <w:pPr>
      <w:numPr>
        <w:numId w:val="8"/>
      </w:numPr>
    </w:pPr>
  </w:style>
  <w:style w:type="paragraph" w:styleId="afb">
    <w:name w:val="Revision"/>
    <w:hidden/>
    <w:uiPriority w:val="99"/>
    <w:semiHidden/>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Ca Char,cap1 Char,cap2 Char,cap11 Char,Légende-figure Char1,Légende-figure Char Char,Beschrifubg Char"/>
    <w:link w:val="ac"/>
    <w:uiPriority w:val="99"/>
    <w:qFormat/>
    <w:rPr>
      <w:rFonts w:ascii="Times New Roman" w:eastAsia="MS Mincho" w:hAnsi="Times New Roman"/>
      <w:b/>
      <w:lang w:val="en-GB" w:eastAsia="en-US"/>
    </w:rPr>
  </w:style>
  <w:style w:type="character" w:customStyle="1" w:styleId="Char4">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fa"/>
    <w:uiPriority w:val="34"/>
    <w:qFormat/>
    <w:locked/>
    <w:rPr>
      <w:rFonts w:ascii="맑은 고딕" w:eastAsia="맑은 고딕" w:hAnsi="맑은 고딕"/>
      <w:kern w:val="2"/>
      <w:szCs w:val="22"/>
    </w:rPr>
  </w:style>
  <w:style w:type="character" w:customStyle="1" w:styleId="B4Char">
    <w:name w:val="B4 Char"/>
    <w:link w:val="B4"/>
    <w:rPr>
      <w:rFonts w:ascii="Times New Roman" w:hAnsi="Times New Roman"/>
      <w:lang w:val="en-GB" w:eastAsia="en-US"/>
    </w:rPr>
  </w:style>
  <w:style w:type="character" w:customStyle="1" w:styleId="B5Char">
    <w:name w:val="B5 Char"/>
    <w:link w:val="B5"/>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Pr>
      <w:rFonts w:ascii="Times New Roman" w:eastAsia="맑은 고딕" w:hAnsi="Times New Roman"/>
      <w:lang w:val="en-GB" w:eastAsia="ja-JP"/>
    </w:rPr>
  </w:style>
  <w:style w:type="character" w:customStyle="1" w:styleId="Char1">
    <w:name w:val="메모 텍스트 Char"/>
    <w:link w:val="af2"/>
    <w:rPr>
      <w:rFonts w:ascii="Times New Roman" w:hAnsi="Times New Roman"/>
      <w:lang w:eastAsia="en-US"/>
    </w:rPr>
  </w:style>
  <w:style w:type="character" w:customStyle="1" w:styleId="CRCoverPageZchn">
    <w:name w:val="CR Cover Page Zchn"/>
    <w:link w:val="CRCoverPage"/>
    <w:locked/>
    <w:rPr>
      <w:rFonts w:ascii="Arial" w:eastAsia="MS Mincho" w:hAnsi="Arial"/>
      <w:lang w:val="en-GB" w:eastAsia="en-US"/>
    </w:rPr>
  </w:style>
  <w:style w:type="table" w:customStyle="1" w:styleId="13">
    <w:name w:val="표 구분선1"/>
    <w:basedOn w:val="a1"/>
    <w:next w:val="a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Body">
    <w:name w:val="B-Body"/>
    <w:link w:val="B-BodyChar"/>
    <w:uiPriority w:val="30"/>
    <w:qFormat/>
    <w:pPr>
      <w:tabs>
        <w:tab w:val="left" w:pos="2160"/>
      </w:tabs>
      <w:spacing w:before="120" w:after="40"/>
      <w:ind w:left="720"/>
    </w:pPr>
    <w:rPr>
      <w:rFonts w:ascii="Times New Roman" w:eastAsia="SimSun" w:hAnsi="Times New Roman"/>
      <w:sz w:val="22"/>
      <w:lang w:eastAsia="en-US"/>
    </w:rPr>
  </w:style>
  <w:style w:type="character" w:customStyle="1" w:styleId="B-BodyChar">
    <w:name w:val="B-Body Char"/>
    <w:basedOn w:val="a0"/>
    <w:link w:val="B-Body"/>
    <w:uiPriority w:val="30"/>
    <w:rPr>
      <w:rFonts w:ascii="Times New Roman" w:eastAsia="SimSun" w:hAnsi="Times New Roman"/>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FAFA59-CCE6-4563-B07C-6C7D365729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96</TotalTime>
  <Pages>2</Pages>
  <Words>990</Words>
  <Characters>5647</Characters>
  <Application>Microsoft Office Word</Application>
  <DocSecurity>0</DocSecurity>
  <Lines>47</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6624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Jaewook Lee</dc:creator>
  <cp:keywords/>
  <dc:description/>
  <cp:lastModifiedBy>LG(Hanul Lee)</cp:lastModifiedBy>
  <cp:revision>12</cp:revision>
  <cp:lastPrinted>2014-08-09T03:01:00Z</cp:lastPrinted>
  <dcterms:created xsi:type="dcterms:W3CDTF">2021-01-13T00:02:00Z</dcterms:created>
  <dcterms:modified xsi:type="dcterms:W3CDTF">2021-01-14T06:53:00Z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